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19" w:rsidRDefault="006E3F19" w:rsidP="00221823">
      <w:pPr>
        <w:tabs>
          <w:tab w:val="left" w:leader="dot" w:pos="9006"/>
        </w:tabs>
        <w:spacing w:after="0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OPINIA PATRONA PRAKTYKI WRAZ Z OCENĄ PRZEBIEGU PRAKTYKI dotycząca aplikanta aplikacji sędziowskiej/prokuratorskiej</w:t>
      </w:r>
    </w:p>
    <w:p w:rsidR="006E3F19" w:rsidRPr="004E25DB" w:rsidRDefault="006E3F19" w:rsidP="00221823">
      <w:pPr>
        <w:tabs>
          <w:tab w:val="left" w:leader="dot" w:pos="4767"/>
        </w:tabs>
        <w:spacing w:after="0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za okres praktyki </w:t>
      </w:r>
    </w:p>
    <w:p w:rsidR="006E3F19" w:rsidRPr="00923546" w:rsidRDefault="006E3F19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w Prokuraturze</w:t>
      </w:r>
      <w:r>
        <w:rPr>
          <w:rFonts w:ascii="Times New Roman" w:hAnsi="Times New Roman" w:cs="Times New Roman"/>
          <w:sz w:val="23"/>
          <w:szCs w:val="23"/>
        </w:rPr>
        <w:t xml:space="preserve">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</w:p>
    <w:p w:rsidR="006E3F19" w:rsidRDefault="006E3F19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0" w:name="bookmark6"/>
      <w:r>
        <w:rPr>
          <w:rFonts w:ascii="Times New Roman" w:hAnsi="Times New Roman" w:cs="Times New Roman"/>
          <w:sz w:val="23"/>
          <w:szCs w:val="23"/>
        </w:rPr>
        <w:t>w dniu…………………………</w:t>
      </w:r>
    </w:p>
    <w:p w:rsidR="006E3F19" w:rsidRDefault="006E3F19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0"/>
    </w:p>
    <w:p w:rsidR="006E3F19" w:rsidRDefault="006E3F19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610"/>
        <w:gridCol w:w="1220"/>
        <w:gridCol w:w="4199"/>
      </w:tblGrid>
      <w:tr w:rsidR="006E3F19" w:rsidRPr="00E46EA6">
        <w:trPr>
          <w:trHeight w:val="523"/>
        </w:trPr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</w:tc>
      </w:tr>
      <w:tr w:rsidR="006E3F19" w:rsidRPr="00E46EA6" w:rsidTr="00853AC8">
        <w:trPr>
          <w:trHeight w:val="31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6E3F19" w:rsidRPr="00E46EA6" w:rsidTr="00853AC8">
        <w:trPr>
          <w:trHeight w:val="307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Default="006E3F19" w:rsidP="00522D8A">
            <w:pPr>
              <w:ind w:lef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zapoznanie się zarówno                     z aktami śledztw i dochodzeń dotyczących p</w:t>
            </w:r>
            <w:r w:rsidRPr="002960B4">
              <w:rPr>
                <w:rFonts w:ascii="Times New Roman" w:hAnsi="Times New Roman" w:cs="Times New Roman"/>
                <w:sz w:val="24"/>
                <w:szCs w:val="24"/>
              </w:rPr>
              <w:t>rzedawnieni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                        </w:t>
            </w:r>
            <w:r w:rsidRPr="002960B4">
              <w:rPr>
                <w:rFonts w:ascii="Times New Roman" w:hAnsi="Times New Roman" w:cs="Times New Roman"/>
                <w:sz w:val="24"/>
                <w:szCs w:val="24"/>
              </w:rPr>
              <w:t>i zatarci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960B4">
              <w:rPr>
                <w:rFonts w:ascii="Times New Roman" w:hAnsi="Times New Roman" w:cs="Times New Roman"/>
                <w:sz w:val="24"/>
                <w:szCs w:val="24"/>
              </w:rPr>
              <w:t xml:space="preserve"> skazania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</w:t>
            </w:r>
            <w:r w:rsidRPr="002960B4">
              <w:rPr>
                <w:rFonts w:ascii="Times New Roman" w:hAnsi="Times New Roman" w:cs="Times New Roman"/>
                <w:sz w:val="24"/>
                <w:szCs w:val="24"/>
              </w:rPr>
              <w:t>rzestępstw przeciwko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życiu                i zdrowiu, jak i zapoznanie się                           z metodyką pracy prokuratora-patrona w prowadzeniu  postępowań w tych sprawach.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E3F19" w:rsidRPr="00E46EA6" w:rsidTr="00853AC8">
        <w:trPr>
          <w:trHeight w:val="6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4E18B4" w:rsidRDefault="006E3F19" w:rsidP="004E18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2. zapoznanie się z aktami śledztw                   i dochodzeń, w których zostały wydane postanowienia                              o umorzeniu postępowania przygotowawczego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na podstawie art. 17 § 1 pkt 1-11 k.p.k., art. 62a ustawy o przeciwdziałaniu narkomanii, art. 11 § 1 k.p.k., art. 322 § 1 k.p.k. z uwzględnieniem treści § 219 ust. 1, 2 i 3 i § 220 ust. 2 rozporządzenia Ministra Sprawiedliwości z 7 kwietnia 2016 Regulamin wewnętrznego urzędowania powszechnych jednostek organizacyjnych prokuratury (Dz. U. z 2017, poz. 1206 z </w:t>
            </w:r>
            <w:proofErr w:type="spellStart"/>
            <w:r w:rsidRPr="004E18B4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4E18B4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i o jego zawieszeniu (a</w:t>
            </w:r>
            <w:r w:rsidR="00653E5D">
              <w:rPr>
                <w:rFonts w:ascii="Times New Roman" w:hAnsi="Times New Roman" w:cs="Times New Roman"/>
                <w:sz w:val="24"/>
                <w:szCs w:val="24"/>
              </w:rPr>
              <w:t xml:space="preserve">rt.11 § 2 k.p.k., art. 22 § 1 </w:t>
            </w: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>k.p.k.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uwzględnieniem treści </w:t>
            </w:r>
            <w:r w:rsidRPr="00432079">
              <w:rPr>
                <w:rFonts w:ascii="Times New Roman" w:hAnsi="Times New Roman" w:cs="Times New Roman"/>
                <w:sz w:val="24"/>
                <w:szCs w:val="24"/>
              </w:rPr>
              <w:t xml:space="preserve">§ 211 ust.1, 2 i 3 , § 212 ust.1 i 2 oraz § 213 ust.1,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3 Regulaminu wewnętrznego </w:t>
            </w:r>
            <w:r w:rsidRPr="00432079">
              <w:rPr>
                <w:rFonts w:ascii="Times New Roman" w:hAnsi="Times New Roman" w:cs="Times New Roman"/>
                <w:sz w:val="24"/>
                <w:szCs w:val="24"/>
              </w:rPr>
              <w:t xml:space="preserve">urzędowania powszechnych jednostek organizacyjnych prokuratury (Dz. U. z 2017, poz. 1206 z </w:t>
            </w:r>
            <w:proofErr w:type="spellStart"/>
            <w:r w:rsidRPr="00432079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432079">
              <w:rPr>
                <w:rFonts w:ascii="Times New Roman" w:hAnsi="Times New Roman" w:cs="Times New Roman"/>
                <w:sz w:val="24"/>
                <w:szCs w:val="24"/>
              </w:rPr>
              <w:t>. zm.</w:t>
            </w: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a także zapoznanie się z metodyką pracy prokuratora-patrona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>w zakresie prowadzenia tych postępowań, jak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18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i sporządzania przedmiotowych postanowień.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E3F19" w:rsidRPr="00E46EA6" w:rsidTr="00855179">
        <w:trPr>
          <w:trHeight w:val="54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Default="006E3F19" w:rsidP="00853AC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omówienie 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>z prokuratorami-patronami kwestii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>dotycząc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ych 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>wyboru prawidłowej podstawy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i przyczyny umorzenia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>w prowadzonyc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postępowaniach.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E3F19" w:rsidRPr="00E46EA6" w:rsidTr="00855179">
        <w:trPr>
          <w:trHeight w:val="44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Default="006E3F19" w:rsidP="00653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 xml:space="preserve"> zapozna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się z aktami śledztw               i dochodzeń, </w:t>
            </w:r>
            <w:r w:rsidRPr="00B849C1">
              <w:rPr>
                <w:rFonts w:ascii="Times New Roman" w:hAnsi="Times New Roman" w:cs="Times New Roman"/>
                <w:sz w:val="24"/>
                <w:szCs w:val="24"/>
              </w:rPr>
              <w:t>w których w przypadku niepoczytalności sprawcy prokurator złożył do sądu wniosek o umorzenie postępowania i zastosowanie środków zabezpieczających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[art. 324 § 1 k.p.k. z uwzględnieniem </w:t>
            </w:r>
            <w:r w:rsidRPr="00861382">
              <w:rPr>
                <w:rFonts w:ascii="Times New Roman" w:hAnsi="Times New Roman" w:cs="Times New Roman"/>
                <w:sz w:val="24"/>
                <w:szCs w:val="24"/>
              </w:rPr>
              <w:t>przepis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 r</w:t>
            </w:r>
            <w:r w:rsidRPr="00861382">
              <w:rPr>
                <w:rFonts w:ascii="Times New Roman" w:hAnsi="Times New Roman" w:cs="Times New Roman"/>
                <w:sz w:val="24"/>
                <w:szCs w:val="24"/>
              </w:rPr>
              <w:t xml:space="preserve">ozdziału X Kodeksu karnego (art. 93a k.k. – </w:t>
            </w:r>
            <w:r w:rsidR="00653E5D">
              <w:rPr>
                <w:rFonts w:ascii="Times New Roman" w:hAnsi="Times New Roman" w:cs="Times New Roman"/>
                <w:sz w:val="24"/>
                <w:szCs w:val="24"/>
              </w:rPr>
              <w:t xml:space="preserve">93g k.k. i </w:t>
            </w:r>
            <w:r w:rsidRPr="00861382">
              <w:rPr>
                <w:rFonts w:ascii="Times New Roman" w:hAnsi="Times New Roman" w:cs="Times New Roman"/>
                <w:sz w:val="24"/>
                <w:szCs w:val="24"/>
              </w:rPr>
              <w:t xml:space="preserve">art. 99 k.k.) oraz </w:t>
            </w:r>
            <w:r w:rsidR="00653E5D">
              <w:rPr>
                <w:rFonts w:ascii="Times New Roman" w:hAnsi="Times New Roman" w:cs="Times New Roman"/>
                <w:sz w:val="24"/>
                <w:szCs w:val="24"/>
              </w:rPr>
              <w:t xml:space="preserve">treści </w:t>
            </w:r>
            <w:r w:rsidRPr="00861382">
              <w:rPr>
                <w:rFonts w:ascii="Times New Roman" w:hAnsi="Times New Roman" w:cs="Times New Roman"/>
                <w:sz w:val="24"/>
                <w:szCs w:val="24"/>
              </w:rPr>
              <w:t xml:space="preserve">§ 231 Regulaminu </w:t>
            </w:r>
            <w:r w:rsidRPr="00432079">
              <w:rPr>
                <w:rFonts w:ascii="Times New Roman" w:hAnsi="Times New Roman" w:cs="Times New Roman"/>
                <w:sz w:val="24"/>
                <w:szCs w:val="24"/>
              </w:rPr>
              <w:t xml:space="preserve">wewnętrznego urzędowania powszechnych jednostek organizacyjnych prokuratury (Dz. U.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2017, poz. 1206 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zm.)],</w:t>
            </w:r>
            <w:r w:rsidRPr="00674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a także zapoznanie się z metodyką pracy prokuratora-patrona                          w zakresie prowadzenia tych postępowań, jaki i sporządzania przedmiotowego wniosku.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E3F19" w:rsidRPr="00E46EA6">
        <w:trPr>
          <w:trHeight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Default="006E3F19" w:rsidP="008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nabycie umiejętności sporządzania 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ów </w:t>
            </w:r>
            <w:r w:rsidRPr="005155C4">
              <w:rPr>
                <w:rFonts w:ascii="Times New Roman" w:hAnsi="Times New Roman" w:cs="Times New Roman"/>
                <w:sz w:val="24"/>
                <w:szCs w:val="24"/>
              </w:rPr>
              <w:t>postanowień o umorzeniu oraz zawieszeni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postępowania przygotowawczego, </w:t>
            </w:r>
            <w:r w:rsidRPr="003B65C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które to decyzje powinny zawierać uzasadnienie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sporządzeniu postanowienia                o umorzeniu wraz z uzasadnieniem należy również uwzględnić </w:t>
            </w:r>
            <w:r w:rsidRPr="00432079">
              <w:rPr>
                <w:rFonts w:ascii="Times New Roman" w:hAnsi="Times New Roman" w:cs="Times New Roman"/>
                <w:sz w:val="24"/>
                <w:szCs w:val="24"/>
              </w:rPr>
              <w:t>treść art. 322 § 2 i § 3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07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07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32079">
              <w:rPr>
                <w:rFonts w:ascii="Times New Roman" w:hAnsi="Times New Roman" w:cs="Times New Roman"/>
                <w:sz w:val="24"/>
                <w:szCs w:val="24"/>
              </w:rPr>
              <w:t>, §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ust.1, § 221 ust. 1 i 2, </w:t>
            </w:r>
            <w:r w:rsidRPr="00432079"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 i § 223  Regulaminu</w:t>
            </w:r>
            <w:r w:rsidRPr="0045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wewnętrznego urzędowania powszechnych </w:t>
            </w:r>
            <w:r w:rsidRPr="00432079">
              <w:rPr>
                <w:rFonts w:ascii="Times New Roman" w:hAnsi="Times New Roman" w:cs="Times New Roman"/>
                <w:sz w:val="24"/>
                <w:szCs w:val="24"/>
              </w:rPr>
              <w:t xml:space="preserve">jednostek organizacyjnych prokuratury (Dz. U. z 2017, poz. 1206 z </w:t>
            </w:r>
            <w:proofErr w:type="spellStart"/>
            <w:r w:rsidRPr="00432079">
              <w:rPr>
                <w:rFonts w:ascii="Times New Roman" w:hAnsi="Times New Roman" w:cs="Times New Roman"/>
                <w:sz w:val="24"/>
                <w:szCs w:val="24"/>
              </w:rPr>
              <w:t>późn</w:t>
            </w:r>
            <w:proofErr w:type="spellEnd"/>
            <w:r w:rsidRPr="00432079">
              <w:rPr>
                <w:rFonts w:ascii="Times New Roman" w:hAnsi="Times New Roman" w:cs="Times New Roman"/>
                <w:sz w:val="24"/>
                <w:szCs w:val="24"/>
              </w:rPr>
              <w:t>. zm.)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E3F19" w:rsidRPr="00E46EA6">
        <w:trPr>
          <w:trHeight w:val="59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Default="006E3F19" w:rsidP="00853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nabycie umiejętności sporządzania</w:t>
            </w:r>
            <w:r w:rsidRPr="00797033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Pr="00797033">
              <w:rPr>
                <w:rFonts w:ascii="Times New Roman" w:hAnsi="Times New Roman" w:cs="Times New Roman"/>
                <w:sz w:val="24"/>
                <w:szCs w:val="24"/>
              </w:rPr>
              <w:t xml:space="preserve"> wniosku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7033">
              <w:rPr>
                <w:rFonts w:ascii="Times New Roman" w:hAnsi="Times New Roman" w:cs="Times New Roman"/>
                <w:sz w:val="24"/>
                <w:szCs w:val="24"/>
              </w:rPr>
              <w:t>o umorzenie postępowania i zastosowanie środków zabezpie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czających.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E3F19" w:rsidRPr="00E46EA6" w:rsidTr="00853AC8">
        <w:trPr>
          <w:trHeight w:val="27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tabs>
                <w:tab w:val="left" w:leader="dot" w:pos="3810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6E3F19" w:rsidRPr="00E46EA6" w:rsidTr="00853AC8">
        <w:trPr>
          <w:trHeight w:val="125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9F58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 w:rsidRPr="00923546">
              <w:rPr>
                <w:rFonts w:ascii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udział w czynnościach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wykonywanych przez prokuratora (patrona), w tym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 xml:space="preserve">w posiedzeniach sądu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rozpatrującego zażalenia w związku z umorzeniem oraz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zawieszeniem postępowania przygotowawczego, a także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 rozprawach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, bądź też                              w posiedzeniach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(art. 354 pkt 2 k.p.k.) związanych z procedowaniem przez sąd w przedmiocie </w:t>
            </w:r>
            <w:r w:rsidRPr="00C41D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wniosk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 prokuratora 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o umorzenie postępowania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>i zastosowanie środków zabezpieczających.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6E3F19" w:rsidRPr="00E46EA6" w:rsidTr="00853AC8">
        <w:trPr>
          <w:trHeight w:val="30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porządkowanie akt, numeracja.</w:t>
            </w:r>
            <w:r w:rsidRPr="00C41D2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F19" w:rsidRPr="00923546" w:rsidRDefault="006E3F19" w:rsidP="00A714CD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E3F19" w:rsidRDefault="006E3F19" w:rsidP="00221823">
      <w:pPr>
        <w:tabs>
          <w:tab w:val="left" w:leader="dot" w:pos="5118"/>
        </w:tabs>
        <w:spacing w:after="0" w:line="240" w:lineRule="auto"/>
        <w:ind w:left="23"/>
        <w:jc w:val="both"/>
        <w:rPr>
          <w:rFonts w:ascii="Times New Roman" w:hAnsi="Times New Roman" w:cs="Times New Roman"/>
        </w:rPr>
      </w:pPr>
    </w:p>
    <w:p w:rsidR="006E3F19" w:rsidRPr="00923546" w:rsidRDefault="006E3F19" w:rsidP="00221823">
      <w:pPr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  <w:lang w:eastAsia="pl-PL"/>
        </w:rPr>
      </w:pPr>
    </w:p>
    <w:p w:rsidR="006E3F19" w:rsidRPr="00923546" w:rsidRDefault="006E3F19" w:rsidP="00221823">
      <w:pPr>
        <w:spacing w:before="104" w:after="246" w:line="230" w:lineRule="exact"/>
        <w:ind w:lef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6E3F19" w:rsidRPr="00923546" w:rsidRDefault="006E3F19" w:rsidP="00221823">
      <w:pPr>
        <w:keepNext/>
        <w:keepLines/>
        <w:tabs>
          <w:tab w:val="left" w:leader="dot" w:pos="9006"/>
        </w:tabs>
        <w:spacing w:after="25" w:line="220" w:lineRule="exact"/>
        <w:ind w:left="20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 xml:space="preserve">Ocena przebiegu praktyki </w:t>
      </w:r>
      <w:r w:rsidRPr="00923546">
        <w:rPr>
          <w:rFonts w:ascii="Times New Roman" w:hAnsi="Times New Roman" w:cs="Times New Roman"/>
        </w:rPr>
        <w:tab/>
      </w:r>
      <w:bookmarkEnd w:id="2"/>
    </w:p>
    <w:p w:rsidR="006E3F19" w:rsidRPr="00923546" w:rsidRDefault="006E3F19" w:rsidP="00221823">
      <w:pPr>
        <w:spacing w:after="403" w:line="274" w:lineRule="exact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6E3F19" w:rsidRPr="00923546" w:rsidRDefault="006E3F19" w:rsidP="00221823">
      <w:pPr>
        <w:keepNext/>
        <w:keepLines/>
        <w:spacing w:after="205" w:line="220" w:lineRule="exact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6E3F19" w:rsidRPr="00923546" w:rsidRDefault="006E3F19" w:rsidP="00221823">
      <w:pPr>
        <w:spacing w:after="0" w:line="274" w:lineRule="exact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6E3F19" w:rsidRPr="00923546"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6E3F19" w:rsidRPr="00923546" w:rsidRDefault="006E3F19" w:rsidP="00221823">
      <w:pPr>
        <w:spacing w:after="2280" w:line="274" w:lineRule="exact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6E3F19" w:rsidRPr="00923546" w:rsidRDefault="006E3F19" w:rsidP="00221823">
      <w:pPr>
        <w:spacing w:after="0" w:line="274" w:lineRule="exact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6E3F19" w:rsidRPr="00923546" w:rsidRDefault="006E3F19" w:rsidP="00221823">
      <w:pPr>
        <w:spacing w:after="2975" w:line="274" w:lineRule="exact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6E3F19" w:rsidRPr="00923546" w:rsidRDefault="006E3F19" w:rsidP="00221823">
      <w:pPr>
        <w:spacing w:after="2283" w:line="230" w:lineRule="exact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lastRenderedPageBreak/>
        <w:t>Predyspozycje aplikanta do pracy na stanowisku sędziego lub prokuratora</w:t>
      </w:r>
    </w:p>
    <w:p w:rsidR="006E3F19" w:rsidRPr="00923546" w:rsidRDefault="006E3F19" w:rsidP="00221823">
      <w:pPr>
        <w:spacing w:after="2218" w:line="230" w:lineRule="exact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6E3F19" w:rsidRPr="00923546" w:rsidRDefault="006E3F19" w:rsidP="00221823">
      <w:pPr>
        <w:spacing w:after="0" w:line="230" w:lineRule="exact"/>
        <w:ind w:left="6760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  <w:sz w:val="23"/>
          <w:szCs w:val="23"/>
        </w:rPr>
        <w:t>Podpis patrona praktyki</w:t>
      </w:r>
    </w:p>
    <w:p w:rsidR="006E3F19" w:rsidRDefault="006E3F19" w:rsidP="00221823"/>
    <w:p w:rsidR="006E3F19" w:rsidRDefault="006E3F19"/>
    <w:sectPr w:rsidR="006E3F19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ADA34CB"/>
    <w:multiLevelType w:val="hybridMultilevel"/>
    <w:tmpl w:val="92A2D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5F7140"/>
    <w:multiLevelType w:val="hybridMultilevel"/>
    <w:tmpl w:val="BC00D4FA"/>
    <w:lvl w:ilvl="0" w:tplc="1BF4E9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48911F78"/>
    <w:multiLevelType w:val="hybridMultilevel"/>
    <w:tmpl w:val="3F02875E"/>
    <w:lvl w:ilvl="0" w:tplc="4DD8CC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6230F5E"/>
    <w:multiLevelType w:val="hybridMultilevel"/>
    <w:tmpl w:val="56EC14F2"/>
    <w:lvl w:ilvl="0" w:tplc="850EE2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823"/>
    <w:rsid w:val="0003718F"/>
    <w:rsid w:val="00040696"/>
    <w:rsid w:val="0009550C"/>
    <w:rsid w:val="0009597E"/>
    <w:rsid w:val="000B4076"/>
    <w:rsid w:val="001258DC"/>
    <w:rsid w:val="0015428D"/>
    <w:rsid w:val="00221823"/>
    <w:rsid w:val="00233934"/>
    <w:rsid w:val="002960B4"/>
    <w:rsid w:val="00335889"/>
    <w:rsid w:val="003573F9"/>
    <w:rsid w:val="003B65C1"/>
    <w:rsid w:val="003F122A"/>
    <w:rsid w:val="003F41DE"/>
    <w:rsid w:val="00430CAA"/>
    <w:rsid w:val="00432079"/>
    <w:rsid w:val="00453E42"/>
    <w:rsid w:val="00456FCC"/>
    <w:rsid w:val="004A0D84"/>
    <w:rsid w:val="004D172F"/>
    <w:rsid w:val="004E18B4"/>
    <w:rsid w:val="004E25DB"/>
    <w:rsid w:val="005155C4"/>
    <w:rsid w:val="00522D8A"/>
    <w:rsid w:val="00650434"/>
    <w:rsid w:val="00653E5D"/>
    <w:rsid w:val="0067467D"/>
    <w:rsid w:val="006E3F19"/>
    <w:rsid w:val="00765D65"/>
    <w:rsid w:val="00797033"/>
    <w:rsid w:val="007C064A"/>
    <w:rsid w:val="007E38F1"/>
    <w:rsid w:val="00847E67"/>
    <w:rsid w:val="00853AC8"/>
    <w:rsid w:val="00855179"/>
    <w:rsid w:val="008571DA"/>
    <w:rsid w:val="00861382"/>
    <w:rsid w:val="00874584"/>
    <w:rsid w:val="00895518"/>
    <w:rsid w:val="008E1140"/>
    <w:rsid w:val="008E24B3"/>
    <w:rsid w:val="008E4193"/>
    <w:rsid w:val="00923546"/>
    <w:rsid w:val="00990D4A"/>
    <w:rsid w:val="009B53C3"/>
    <w:rsid w:val="009F5818"/>
    <w:rsid w:val="00A714CD"/>
    <w:rsid w:val="00AA44D2"/>
    <w:rsid w:val="00AB5C7E"/>
    <w:rsid w:val="00AF512D"/>
    <w:rsid w:val="00B849C1"/>
    <w:rsid w:val="00B8500F"/>
    <w:rsid w:val="00BA4A08"/>
    <w:rsid w:val="00BB3E29"/>
    <w:rsid w:val="00C41D23"/>
    <w:rsid w:val="00C64171"/>
    <w:rsid w:val="00CC5C35"/>
    <w:rsid w:val="00DC7C06"/>
    <w:rsid w:val="00E34F9E"/>
    <w:rsid w:val="00E46EA6"/>
    <w:rsid w:val="00E623C9"/>
    <w:rsid w:val="00E70288"/>
    <w:rsid w:val="00E823CF"/>
    <w:rsid w:val="00EA50AC"/>
    <w:rsid w:val="00F27C0E"/>
    <w:rsid w:val="00F82AF9"/>
    <w:rsid w:val="00FB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823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E4193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rsid w:val="0045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53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715</Words>
  <Characters>4290</Characters>
  <Application>Microsoft Office Word</Application>
  <DocSecurity>0</DocSecurity>
  <Lines>35</Lines>
  <Paragraphs>9</Paragraphs>
  <ScaleCrop>false</ScaleCrop>
  <Company>Krajowa Szkoła Sądownictwa i Prokuratury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Zin</dc:creator>
  <cp:keywords/>
  <dc:description/>
  <cp:lastModifiedBy>Beata Padło</cp:lastModifiedBy>
  <cp:revision>17</cp:revision>
  <cp:lastPrinted>2018-08-14T06:12:00Z</cp:lastPrinted>
  <dcterms:created xsi:type="dcterms:W3CDTF">2018-08-14T11:48:00Z</dcterms:created>
  <dcterms:modified xsi:type="dcterms:W3CDTF">2018-08-16T07:32:00Z</dcterms:modified>
</cp:coreProperties>
</file>